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BCD" w:rsidRPr="002E036D" w:rsidRDefault="002E036D">
      <w:pPr>
        <w:jc w:val="center"/>
        <w:rPr>
          <w:rFonts w:ascii="Times New Roman" w:hAnsi="Times New Roman"/>
          <w:b/>
          <w:sz w:val="26"/>
          <w:szCs w:val="26"/>
        </w:rPr>
      </w:pPr>
      <w:r w:rsidRPr="002E036D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827BCD" w:rsidRPr="002E036D" w:rsidRDefault="002E036D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на </w:t>
      </w:r>
      <w:r w:rsidRPr="002E036D">
        <w:rPr>
          <w:rFonts w:ascii="Times New Roman" w:hAnsi="Times New Roman"/>
          <w:b/>
          <w:sz w:val="26"/>
          <w:szCs w:val="26"/>
        </w:rPr>
        <w:t>восстановление работоспособности автоматических скоростных комплексов весового и габаритного контроля</w:t>
      </w:r>
    </w:p>
    <w:p w:rsidR="00827BCD" w:rsidRDefault="00827BCD">
      <w:pPr>
        <w:jc w:val="both"/>
        <w:rPr>
          <w:rFonts w:ascii="Times New Roman" w:hAnsi="Times New Roman"/>
          <w:sz w:val="26"/>
          <w:szCs w:val="26"/>
        </w:rPr>
      </w:pPr>
    </w:p>
    <w:p w:rsidR="00827BCD" w:rsidRDefault="002E036D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Состав Работ:</w:t>
      </w:r>
    </w:p>
    <w:p w:rsidR="00827BCD" w:rsidRDefault="002E036D">
      <w:pPr>
        <w:pStyle w:val="a"/>
        <w:numPr>
          <w:ilvl w:val="6"/>
          <w:numId w:val="2"/>
        </w:numPr>
        <w:ind w:left="0" w:firstLine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Восстановление работоспособности автоматических скоростных комплексов весового и габаритного контроля (АСКВГК), </w:t>
      </w:r>
      <w:r>
        <w:rPr>
          <w:rFonts w:ascii="Times New Roman" w:hAnsi="Times New Roman"/>
        </w:rPr>
        <w:t>расположенных по адресам:</w:t>
      </w:r>
    </w:p>
    <w:p w:rsidR="00827BCD" w:rsidRDefault="002E036D">
      <w:pPr>
        <w:pStyle w:val="a"/>
        <w:numPr>
          <w:ilvl w:val="0"/>
          <w:numId w:val="0"/>
        </w:num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Автомобильная дорога - расположенная на км 313+780 – км 314+480 автомобильной дороги «Сыктывкар – Ухта – Печора – Усинск - Нарьян-Мар»; </w:t>
      </w:r>
    </w:p>
    <w:p w:rsidR="00827BCD" w:rsidRDefault="002E036D">
      <w:pPr>
        <w:pStyle w:val="a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Автомобильная дорога – расположенная на км 27+230 – км 27+930 автомобильной дороги «Сыктывкар</w:t>
      </w:r>
      <w:r>
        <w:rPr>
          <w:rFonts w:ascii="Times New Roman" w:hAnsi="Times New Roman"/>
        </w:rPr>
        <w:t>-Ухта-Печора-Усинск-</w:t>
      </w:r>
      <w:proofErr w:type="spellStart"/>
      <w:r>
        <w:rPr>
          <w:rFonts w:ascii="Times New Roman" w:hAnsi="Times New Roman"/>
        </w:rPr>
        <w:t>Нарьян</w:t>
      </w:r>
      <w:proofErr w:type="spellEnd"/>
      <w:r>
        <w:rPr>
          <w:rFonts w:ascii="Times New Roman" w:hAnsi="Times New Roman"/>
        </w:rPr>
        <w:t xml:space="preserve">- </w:t>
      </w:r>
      <w:proofErr w:type="spellStart"/>
      <w:r>
        <w:rPr>
          <w:rFonts w:ascii="Times New Roman" w:hAnsi="Times New Roman"/>
        </w:rPr>
        <w:t>Мар</w:t>
      </w:r>
      <w:proofErr w:type="spellEnd"/>
      <w:r>
        <w:rPr>
          <w:rFonts w:ascii="Times New Roman" w:hAnsi="Times New Roman"/>
        </w:rPr>
        <w:t>»;</w:t>
      </w:r>
    </w:p>
    <w:p w:rsidR="00827BCD" w:rsidRDefault="002E036D">
      <w:pPr>
        <w:pStyle w:val="a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Автомобильная дорога – расположенная на км 3-690 – км 4+390 автомобильной дороги «Сыктывкар-Троицко-Печорск»;</w:t>
      </w:r>
    </w:p>
    <w:p w:rsidR="00827BCD" w:rsidRDefault="002E036D">
      <w:pPr>
        <w:pStyle w:val="a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Автомобильная дорога - расположенная на участке «Подъезд к промышленному узлу </w:t>
      </w:r>
      <w:proofErr w:type="spellStart"/>
      <w:r>
        <w:rPr>
          <w:rFonts w:ascii="Times New Roman" w:hAnsi="Times New Roman"/>
        </w:rPr>
        <w:t>Эжвинский</w:t>
      </w:r>
      <w:proofErr w:type="spellEnd"/>
      <w:r>
        <w:rPr>
          <w:rFonts w:ascii="Times New Roman" w:hAnsi="Times New Roman"/>
        </w:rPr>
        <w:t>» км 3+250 – км 3+950 авт</w:t>
      </w:r>
      <w:r>
        <w:rPr>
          <w:rFonts w:ascii="Times New Roman" w:hAnsi="Times New Roman"/>
        </w:rPr>
        <w:t>омобильной дороги «Сыктывкар-Ухта-Печора-Усинск-Нарьян-Мар»;</w:t>
      </w:r>
    </w:p>
    <w:p w:rsidR="00827BCD" w:rsidRDefault="002E036D">
      <w:pPr>
        <w:pStyle w:val="a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Автомобильная дорога – расположенного на участке км. 2+157-км 2+87 автомобильной дороги «Сыктывкар-Кудымкар»;</w:t>
      </w:r>
    </w:p>
    <w:p w:rsidR="00827BCD" w:rsidRDefault="002E036D">
      <w:pPr>
        <w:pStyle w:val="a"/>
        <w:numPr>
          <w:ilvl w:val="0"/>
          <w:numId w:val="0"/>
        </w:num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Автомобильная дорога – расположенного на км 31+037 – км 31+737 автомобильной дороги «</w:t>
      </w:r>
      <w:r>
        <w:rPr>
          <w:rFonts w:ascii="Times New Roman" w:hAnsi="Times New Roman"/>
        </w:rPr>
        <w:t>Подъезд к г. Усинску» от автомобильной дороги «Сыктывкар-Ухта-Печора-Усинск-Нарьян-Мар»</w:t>
      </w:r>
    </w:p>
    <w:p w:rsidR="00827BCD" w:rsidRDefault="002E036D">
      <w:pPr>
        <w:pStyle w:val="a"/>
        <w:numPr>
          <w:ilvl w:val="0"/>
          <w:numId w:val="0"/>
        </w:numPr>
        <w:ind w:firstLine="709"/>
      </w:pPr>
      <w:r>
        <w:rPr>
          <w:rFonts w:ascii="Times New Roman" w:hAnsi="Times New Roman"/>
        </w:rPr>
        <w:t>Посредством приведения дорожного покрытия (дорожной одежды) в месте установки АСКВГК в соответствии установленным строительным нормам и правилам, ГОСТ Р 50597-2017, тре</w:t>
      </w:r>
      <w:r>
        <w:rPr>
          <w:rFonts w:ascii="Times New Roman" w:hAnsi="Times New Roman"/>
        </w:rPr>
        <w:t xml:space="preserve">бованиям </w:t>
      </w:r>
      <w:r w:rsidRPr="002E036D">
        <w:rPr>
          <w:rFonts w:ascii="Times New Roman" w:hAnsi="Times New Roman"/>
        </w:rPr>
        <w:t>пункта 2.1 Руководства по эксплуатации Системы измерений параметров автомобильных</w:t>
      </w:r>
      <w:r>
        <w:rPr>
          <w:rFonts w:ascii="Times New Roman" w:hAnsi="Times New Roman"/>
        </w:rPr>
        <w:t xml:space="preserve"> транспортных средств в движении "ИБС ВИМ", а также замены </w:t>
      </w:r>
      <w:bookmarkStart w:id="0" w:name="_GoBack"/>
      <w:r>
        <w:rPr>
          <w:rFonts w:ascii="Times New Roman" w:hAnsi="Times New Roman"/>
        </w:rPr>
        <w:t xml:space="preserve">средства измерения "Система измерений параметров автомобильных транспортных средств в </w:t>
      </w:r>
      <w:r w:rsidRPr="002E036D">
        <w:rPr>
          <w:rFonts w:ascii="Times New Roman" w:hAnsi="Times New Roman"/>
        </w:rPr>
        <w:t xml:space="preserve">движении ИБС ВИМ" на </w:t>
      </w:r>
      <w:r w:rsidRPr="002E036D">
        <w:rPr>
          <w:rFonts w:ascii="Times New Roman" w:hAnsi="Times New Roman"/>
        </w:rPr>
        <w:t>аналогичное новое</w:t>
      </w:r>
      <w:r w:rsidRPr="002E036D">
        <w:rPr>
          <w:rFonts w:ascii="Times New Roman" w:hAnsi="Times New Roman"/>
        </w:rPr>
        <w:t xml:space="preserve"> (не бывшее в употреблении) средство измерения, имеющее поверку. Результатом поверки является подтверждение пригодности средства измерения к применению, в соответствии с требованиями </w:t>
      </w:r>
      <w:r w:rsidRPr="002E036D">
        <w:rPr>
          <w:rFonts w:ascii="Times New Roman" w:hAnsi="Times New Roman"/>
        </w:rPr>
        <w:t>г</w:t>
      </w:r>
      <w:r w:rsidRPr="002E036D">
        <w:rPr>
          <w:rFonts w:ascii="Times New Roman" w:hAnsi="Times New Roman"/>
        </w:rPr>
        <w:t>осударственного контракта № 0107200002718000647</w:t>
      </w:r>
      <w:r w:rsidRPr="002E036D">
        <w:rPr>
          <w:rFonts w:ascii="Times New Roman" w:hAnsi="Times New Roman"/>
        </w:rPr>
        <w:t xml:space="preserve"> от </w:t>
      </w:r>
      <w:r w:rsidRPr="002E036D">
        <w:rPr>
          <w:rFonts w:ascii="Times New Roman" w:hAnsi="Times New Roman"/>
        </w:rPr>
        <w:t>27.0</w:t>
      </w:r>
      <w:r w:rsidRPr="002E036D">
        <w:rPr>
          <w:rFonts w:ascii="Times New Roman" w:hAnsi="Times New Roman"/>
        </w:rPr>
        <w:t xml:space="preserve">7.2018, Технического задания к нему и пункта 2.2, раздела 4 Руководства по эксплуатации Системы измерений параметров автомобильных транспортных </w:t>
      </w:r>
      <w:bookmarkEnd w:id="0"/>
      <w:r w:rsidRPr="002E036D">
        <w:rPr>
          <w:rFonts w:ascii="Times New Roman" w:hAnsi="Times New Roman"/>
        </w:rPr>
        <w:t>средств в движении "ИБС ВИМ". Виды работ по монтажу Системы:</w:t>
      </w:r>
    </w:p>
    <w:p w:rsidR="00827BCD" w:rsidRDefault="002E036D">
      <w:pPr>
        <w:spacing w:before="269" w:after="269"/>
        <w:ind w:firstLine="567"/>
        <w:jc w:val="both"/>
      </w:pPr>
      <w:r>
        <w:rPr>
          <w:rFonts w:ascii="Times New Roman" w:hAnsi="Times New Roman"/>
          <w:sz w:val="26"/>
          <w:szCs w:val="26"/>
        </w:rPr>
        <w:t xml:space="preserve">- монтаж </w:t>
      </w:r>
      <w:proofErr w:type="spellStart"/>
      <w:r>
        <w:rPr>
          <w:rFonts w:ascii="Times New Roman" w:hAnsi="Times New Roman"/>
          <w:sz w:val="26"/>
          <w:szCs w:val="26"/>
        </w:rPr>
        <w:t>силоприемных</w:t>
      </w:r>
      <w:proofErr w:type="spellEnd"/>
      <w:r>
        <w:rPr>
          <w:rFonts w:ascii="Times New Roman" w:hAnsi="Times New Roman"/>
          <w:sz w:val="26"/>
          <w:szCs w:val="26"/>
        </w:rPr>
        <w:t xml:space="preserve"> модулей (пьезоэлектрические д</w:t>
      </w:r>
      <w:r>
        <w:rPr>
          <w:rFonts w:ascii="Times New Roman" w:hAnsi="Times New Roman"/>
          <w:sz w:val="26"/>
          <w:szCs w:val="26"/>
        </w:rPr>
        <w:t xml:space="preserve">атчики), модуль определения </w:t>
      </w:r>
      <w:proofErr w:type="spellStart"/>
      <w:r>
        <w:rPr>
          <w:rFonts w:ascii="Times New Roman" w:hAnsi="Times New Roman"/>
          <w:sz w:val="26"/>
          <w:szCs w:val="26"/>
        </w:rPr>
        <w:t>скатности</w:t>
      </w:r>
      <w:proofErr w:type="spellEnd"/>
      <w:r>
        <w:rPr>
          <w:rFonts w:ascii="Times New Roman" w:hAnsi="Times New Roman"/>
          <w:sz w:val="26"/>
          <w:szCs w:val="26"/>
        </w:rPr>
        <w:t xml:space="preserve"> (модуль позиционирования ТС на полосе движения) и модуль обнаружения ТС, измерения длины ТС (индукционные контуры) в </w:t>
      </w:r>
      <w:proofErr w:type="spellStart"/>
      <w:r>
        <w:rPr>
          <w:rFonts w:ascii="Times New Roman" w:hAnsi="Times New Roman"/>
          <w:sz w:val="26"/>
          <w:szCs w:val="26"/>
        </w:rPr>
        <w:t>асфальто</w:t>
      </w:r>
      <w:proofErr w:type="spellEnd"/>
      <w:r>
        <w:rPr>
          <w:rFonts w:ascii="Times New Roman" w:hAnsi="Times New Roman"/>
          <w:sz w:val="26"/>
          <w:szCs w:val="26"/>
        </w:rPr>
        <w:t>- или цементобетонное покрытие автомобильной дороги.</w:t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произвести монтаж на установленных Г-о</w:t>
      </w:r>
      <w:r>
        <w:rPr>
          <w:rFonts w:ascii="Times New Roman" w:hAnsi="Times New Roman"/>
          <w:sz w:val="26"/>
          <w:szCs w:val="26"/>
        </w:rPr>
        <w:t>бразных опорах видеокамер и прожекторов ИК-подсветки.</w:t>
      </w:r>
    </w:p>
    <w:p w:rsidR="00827BCD" w:rsidRDefault="002E036D">
      <w:pPr>
        <w:spacing w:before="269" w:after="269"/>
        <w:ind w:firstLine="567"/>
        <w:jc w:val="both"/>
      </w:pPr>
      <w:r>
        <w:rPr>
          <w:rFonts w:ascii="Times New Roman" w:hAnsi="Times New Roman"/>
          <w:sz w:val="26"/>
          <w:szCs w:val="26"/>
        </w:rPr>
        <w:t>- монтаж на установленном П-образной опоре оптические лазерные устройства (модули измерения габаритных размеров ТС).</w:t>
      </w:r>
    </w:p>
    <w:p w:rsidR="00827BCD" w:rsidRDefault="002E036D">
      <w:pPr>
        <w:spacing w:before="269" w:after="26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</w:r>
    </w:p>
    <w:p w:rsidR="00827BCD" w:rsidRDefault="002E036D">
      <w:pPr>
        <w:spacing w:before="269" w:after="26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br/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подключить все модули к шкафу с электронной частью системы, установленному на в</w:t>
      </w:r>
      <w:r>
        <w:rPr>
          <w:rFonts w:ascii="Times New Roman" w:hAnsi="Times New Roman"/>
          <w:sz w:val="26"/>
          <w:szCs w:val="26"/>
        </w:rPr>
        <w:t>ертикальной стойке П-образной опоры.</w:t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произвести настройку и калибровку Системы</w:t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настроить передачу результатов измерений Системы во внешнюю информационную систему Заказчика,</w:t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обеспечить проведение первичной поверки Системы органом Государственной метро</w:t>
      </w:r>
      <w:r>
        <w:rPr>
          <w:rFonts w:ascii="Times New Roman" w:hAnsi="Times New Roman"/>
          <w:sz w:val="26"/>
          <w:szCs w:val="26"/>
        </w:rPr>
        <w:t>логической службы,</w:t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обеспечить выполнение требований к состоянию дорожного полотна в месте установки Системы, </w:t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обеспечить такие сроки и условия проведения работ по монтажу модулей в дорожное полотно, чтобы температура окружающего воздуха при проведении </w:t>
      </w:r>
      <w:r>
        <w:rPr>
          <w:rFonts w:ascii="Times New Roman" w:hAnsi="Times New Roman"/>
          <w:sz w:val="26"/>
          <w:szCs w:val="26"/>
        </w:rPr>
        <w:t>работ и в течение не менее трех суток до них, была не ниже 10˚С. Выпадение атмосферных осадков в этот период не допускается.</w:t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подвести электрическое питание от сети переменного тока со следующими параметрами в точке подключения:</w:t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напряжение, </w:t>
      </w:r>
      <w:proofErr w:type="gramStart"/>
      <w:r>
        <w:rPr>
          <w:rFonts w:ascii="Times New Roman" w:hAnsi="Times New Roman"/>
          <w:sz w:val="26"/>
          <w:szCs w:val="26"/>
        </w:rPr>
        <w:t>В</w:t>
      </w:r>
      <w:proofErr w:type="gramEnd"/>
      <w:r>
        <w:rPr>
          <w:rFonts w:ascii="Times New Roman" w:hAnsi="Times New Roman"/>
          <w:sz w:val="26"/>
          <w:szCs w:val="26"/>
        </w:rPr>
        <w:t xml:space="preserve"> от 187 до 24</w:t>
      </w:r>
      <w:r>
        <w:rPr>
          <w:rFonts w:ascii="Times New Roman" w:hAnsi="Times New Roman"/>
          <w:sz w:val="26"/>
          <w:szCs w:val="26"/>
        </w:rPr>
        <w:t>2</w:t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частота, Гц от 49 до 51</w:t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мощность, не менее, </w:t>
      </w:r>
      <w:proofErr w:type="spellStart"/>
      <w:r>
        <w:rPr>
          <w:rFonts w:ascii="Times New Roman" w:hAnsi="Times New Roman"/>
          <w:sz w:val="26"/>
          <w:szCs w:val="26"/>
        </w:rPr>
        <w:t>кВА</w:t>
      </w:r>
      <w:proofErr w:type="spellEnd"/>
      <w:r>
        <w:rPr>
          <w:rFonts w:ascii="Times New Roman" w:hAnsi="Times New Roman"/>
          <w:sz w:val="26"/>
          <w:szCs w:val="26"/>
        </w:rPr>
        <w:t xml:space="preserve"> 1,5</w:t>
      </w:r>
    </w:p>
    <w:p w:rsidR="00827BCD" w:rsidRDefault="002E036D">
      <w:pPr>
        <w:spacing w:before="269" w:after="269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Также выполнить обязательства по получению документов и согласований, предусмотренных в п.4.8. Договора в сроки, определенные Графиком исполнения обязательств, в соответствии с условиями настоящего Дого</w:t>
      </w:r>
      <w:r>
        <w:rPr>
          <w:rFonts w:ascii="Times New Roman" w:hAnsi="Times New Roman"/>
          <w:sz w:val="26"/>
          <w:szCs w:val="26"/>
        </w:rPr>
        <w:t>вора, а Заказчик обязуется принять и оплатить выполненные Работы в соответствии с условиями настоящего Договора.</w:t>
      </w:r>
    </w:p>
    <w:p w:rsidR="00827BCD" w:rsidRDefault="002E036D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 Гарантийный срок на выполненные Работы, используемые Материалы составляет 48 (сорок восемь) месяцев с даты подписания Акта приемки Объекта </w:t>
      </w:r>
      <w:r>
        <w:rPr>
          <w:rFonts w:ascii="Times New Roman" w:hAnsi="Times New Roman"/>
          <w:sz w:val="26"/>
          <w:szCs w:val="26"/>
        </w:rPr>
        <w:t>Подрядчиком и Заказчиком.</w:t>
      </w:r>
    </w:p>
    <w:p w:rsidR="00827BCD" w:rsidRDefault="00827BCD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827BCD" w:rsidRDefault="002E036D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Выполнение работ проводится в целях исполнения Заказчиком Государственного контракта от № 0107200002718000647 от 27.07.2018 (имеется в свободном доступе на сайте zakupki.gov.ru), заключенного между ПАО «Ростелеком» и ГКУ РК «Доро</w:t>
      </w:r>
      <w:r>
        <w:rPr>
          <w:rFonts w:ascii="Times New Roman" w:hAnsi="Times New Roman"/>
          <w:sz w:val="26"/>
          <w:szCs w:val="26"/>
        </w:rPr>
        <w:t xml:space="preserve">жный контроль», а также в рамках Судебного решения: </w:t>
      </w:r>
    </w:p>
    <w:p w:rsidR="00827BCD" w:rsidRDefault="002E036D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Дело №А29-7991/2020 от 03.12.2021;</w:t>
      </w:r>
    </w:p>
    <w:p w:rsidR="00827BCD" w:rsidRDefault="002E036D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Дело №А29-15627/2020 от 02.09.2021;</w:t>
      </w:r>
    </w:p>
    <w:p w:rsidR="00827BCD" w:rsidRDefault="002E036D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Дело №А29-15628/2020 от 14.03.2022;</w:t>
      </w:r>
    </w:p>
    <w:p w:rsidR="00827BCD" w:rsidRDefault="002E036D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Дело №А29-15559/2020 от 02.09.2021;</w:t>
      </w:r>
    </w:p>
    <w:p w:rsidR="00827BCD" w:rsidRDefault="002E036D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Дело №А29-8492/2021 от 14.02.2022;</w:t>
      </w:r>
    </w:p>
    <w:p w:rsidR="00827BCD" w:rsidRDefault="002E036D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Дело </w:t>
      </w:r>
      <w:r>
        <w:rPr>
          <w:rFonts w:ascii="Times New Roman" w:hAnsi="Times New Roman"/>
          <w:sz w:val="26"/>
          <w:szCs w:val="26"/>
        </w:rPr>
        <w:t>№А29-7250/2020 11.01.2021.</w:t>
      </w:r>
    </w:p>
    <w:p w:rsidR="00827BCD" w:rsidRDefault="00827BCD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827BCD" w:rsidRDefault="002E036D">
      <w:pPr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выполнения работ до 01 сентября 2026 года.</w:t>
      </w:r>
    </w:p>
    <w:sectPr w:rsidR="00827BCD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17BB9"/>
    <w:multiLevelType w:val="multilevel"/>
    <w:tmpl w:val="735E5F8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"/>
      <w:lvlText w:val="%1.%2."/>
      <w:lvlJc w:val="left"/>
      <w:pPr>
        <w:tabs>
          <w:tab w:val="num" w:pos="2552"/>
        </w:tabs>
        <w:ind w:left="2552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74A8242F"/>
    <w:multiLevelType w:val="multilevel"/>
    <w:tmpl w:val="A1FA6A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0"/>
  <w:characterSpacingControl w:val="doNotCompress"/>
  <w:compat>
    <w:noLeading/>
    <w:doNotExpandShiftReturn/>
    <w:usePrinterMetrics/>
    <w:compatSetting w:name="compatibilityMode" w:uri="http://schemas.microsoft.com/office/word" w:val="14"/>
  </w:compat>
  <w:rsids>
    <w:rsidRoot w:val="00827BCD"/>
    <w:rsid w:val="002E036D"/>
    <w:rsid w:val="0082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B15BA"/>
  <w15:docId w15:val="{F79F9FFC-AA4E-4C1B-BA53-AB03A9385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Tahoma" w:hAnsi="Liberation Serif" w:cs="Tahoma"/>
        <w:color w:val="000000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next w:val="a0"/>
    <w:qFormat/>
    <w:pPr>
      <w:spacing w:before="120" w:after="120"/>
      <w:jc w:val="both"/>
      <w:outlineLvl w:val="0"/>
    </w:pPr>
    <w:rPr>
      <w:rFonts w:ascii="XO Thames" w:hAnsi="XO Thames"/>
      <w:b/>
      <w:bCs/>
      <w:sz w:val="32"/>
      <w:szCs w:val="32"/>
    </w:rPr>
  </w:style>
  <w:style w:type="paragraph" w:styleId="2">
    <w:name w:val="heading 2"/>
    <w:next w:val="a0"/>
    <w:qFormat/>
    <w:pPr>
      <w:spacing w:before="120" w:after="120"/>
      <w:jc w:val="both"/>
      <w:outlineLvl w:val="1"/>
    </w:pPr>
    <w:rPr>
      <w:rFonts w:ascii="XO Thames" w:hAnsi="XO Thames"/>
      <w:b/>
      <w:bCs/>
      <w:sz w:val="28"/>
      <w:szCs w:val="28"/>
    </w:rPr>
  </w:style>
  <w:style w:type="paragraph" w:styleId="3">
    <w:name w:val="heading 3"/>
    <w:next w:val="a0"/>
    <w:qFormat/>
    <w:pPr>
      <w:spacing w:before="120" w:after="120"/>
      <w:jc w:val="both"/>
      <w:outlineLvl w:val="2"/>
    </w:pPr>
    <w:rPr>
      <w:rFonts w:ascii="XO Thames" w:hAnsi="XO Thames"/>
      <w:b/>
      <w:bCs/>
      <w:sz w:val="26"/>
      <w:szCs w:val="26"/>
    </w:rPr>
  </w:style>
  <w:style w:type="paragraph" w:styleId="4">
    <w:name w:val="heading 4"/>
    <w:next w:val="a0"/>
    <w:qFormat/>
    <w:pPr>
      <w:spacing w:before="120" w:after="120"/>
      <w:jc w:val="both"/>
      <w:outlineLvl w:val="3"/>
    </w:pPr>
    <w:rPr>
      <w:rFonts w:ascii="XO Thames" w:hAnsi="XO Thames"/>
      <w:b/>
      <w:bCs/>
    </w:rPr>
  </w:style>
  <w:style w:type="paragraph" w:styleId="5">
    <w:name w:val="heading 5"/>
    <w:next w:val="a0"/>
    <w:qFormat/>
    <w:pPr>
      <w:spacing w:before="120" w:after="120"/>
      <w:jc w:val="both"/>
      <w:outlineLvl w:val="4"/>
    </w:pPr>
    <w:rPr>
      <w:rFonts w:ascii="XO Thames" w:hAnsi="XO Thames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ListLabel17">
    <w:name w:val="ListLabel 17"/>
    <w:qFormat/>
  </w:style>
  <w:style w:type="paragraph" w:customStyle="1" w:styleId="ListLabel14">
    <w:name w:val="ListLabel 14"/>
    <w:qFormat/>
  </w:style>
  <w:style w:type="paragraph" w:styleId="a4">
    <w:name w:val="index heading"/>
    <w:basedOn w:val="a0"/>
    <w:next w:val="a0"/>
    <w:qFormat/>
  </w:style>
  <w:style w:type="paragraph" w:styleId="20">
    <w:name w:val="toc 2"/>
    <w:next w:val="a0"/>
    <w:pPr>
      <w:ind w:left="200"/>
    </w:pPr>
    <w:rPr>
      <w:rFonts w:ascii="XO Thames" w:hAnsi="XO Thames"/>
      <w:sz w:val="28"/>
      <w:szCs w:val="28"/>
    </w:rPr>
  </w:style>
  <w:style w:type="paragraph" w:styleId="40">
    <w:name w:val="toc 4"/>
    <w:next w:val="a0"/>
    <w:pPr>
      <w:ind w:left="600"/>
    </w:pPr>
    <w:rPr>
      <w:rFonts w:ascii="XO Thames" w:hAnsi="XO Thames"/>
      <w:sz w:val="28"/>
      <w:szCs w:val="28"/>
    </w:rPr>
  </w:style>
  <w:style w:type="paragraph" w:styleId="a5">
    <w:name w:val="Body Text"/>
    <w:basedOn w:val="a0"/>
    <w:next w:val="a0"/>
    <w:pPr>
      <w:spacing w:after="140" w:line="276" w:lineRule="auto"/>
    </w:pPr>
  </w:style>
  <w:style w:type="paragraph" w:styleId="6">
    <w:name w:val="toc 6"/>
    <w:next w:val="a0"/>
    <w:pPr>
      <w:ind w:left="1000"/>
    </w:pPr>
    <w:rPr>
      <w:rFonts w:ascii="XO Thames" w:hAnsi="XO Thames"/>
      <w:sz w:val="28"/>
      <w:szCs w:val="28"/>
    </w:rPr>
  </w:style>
  <w:style w:type="paragraph" w:styleId="7">
    <w:name w:val="toc 7"/>
    <w:next w:val="a0"/>
    <w:pPr>
      <w:ind w:left="1200"/>
    </w:pPr>
    <w:rPr>
      <w:rFonts w:ascii="XO Thames" w:hAnsi="XO Thames"/>
      <w:sz w:val="28"/>
      <w:szCs w:val="28"/>
    </w:rPr>
  </w:style>
  <w:style w:type="paragraph" w:styleId="a6">
    <w:name w:val="endnote text"/>
    <w:pPr>
      <w:ind w:firstLine="851"/>
      <w:jc w:val="both"/>
    </w:pPr>
    <w:rPr>
      <w:rFonts w:ascii="XO Thames" w:hAnsi="XO Thames"/>
      <w:sz w:val="22"/>
      <w:szCs w:val="22"/>
    </w:rPr>
  </w:style>
  <w:style w:type="paragraph" w:styleId="a7">
    <w:name w:val="Title"/>
    <w:next w:val="a0"/>
    <w:qFormat/>
    <w:pPr>
      <w:spacing w:before="567" w:after="567"/>
      <w:jc w:val="center"/>
    </w:pPr>
    <w:rPr>
      <w:rFonts w:ascii="XO Thames" w:hAnsi="XO Thames"/>
      <w:b/>
      <w:bCs/>
      <w:caps/>
      <w:sz w:val="40"/>
      <w:szCs w:val="40"/>
    </w:rPr>
  </w:style>
  <w:style w:type="paragraph" w:customStyle="1" w:styleId="ListLabel16">
    <w:name w:val="ListLabel 16"/>
    <w:qFormat/>
  </w:style>
  <w:style w:type="paragraph" w:styleId="a8">
    <w:name w:val="caption"/>
    <w:basedOn w:val="a0"/>
    <w:next w:val="a0"/>
    <w:qFormat/>
    <w:pPr>
      <w:spacing w:before="120" w:after="120"/>
    </w:pPr>
    <w:rPr>
      <w:i/>
      <w:iCs/>
    </w:rPr>
  </w:style>
  <w:style w:type="paragraph" w:customStyle="1" w:styleId="ListLabel18">
    <w:name w:val="ListLabel 18"/>
    <w:qFormat/>
  </w:style>
  <w:style w:type="paragraph" w:styleId="30">
    <w:name w:val="toc 3"/>
    <w:next w:val="a0"/>
    <w:pPr>
      <w:ind w:left="400"/>
    </w:pPr>
    <w:rPr>
      <w:rFonts w:ascii="XO Thames" w:hAnsi="XO Thames"/>
      <w:sz w:val="28"/>
      <w:szCs w:val="28"/>
    </w:rPr>
  </w:style>
  <w:style w:type="paragraph" w:customStyle="1" w:styleId="Internetlink">
    <w:name w:val="Internet link"/>
    <w:qFormat/>
    <w:rPr>
      <w:color w:val="0000FF"/>
      <w:u w:val="single"/>
    </w:rPr>
  </w:style>
  <w:style w:type="paragraph" w:styleId="a9">
    <w:name w:val="footnote text"/>
    <w:pPr>
      <w:ind w:firstLine="851"/>
      <w:jc w:val="both"/>
    </w:pPr>
    <w:rPr>
      <w:rFonts w:ascii="XO Thames" w:hAnsi="XO Thames"/>
      <w:sz w:val="22"/>
      <w:szCs w:val="22"/>
    </w:rPr>
  </w:style>
  <w:style w:type="paragraph" w:styleId="10">
    <w:name w:val="toc 1"/>
    <w:next w:val="a0"/>
    <w:rPr>
      <w:rFonts w:ascii="XO Thames" w:hAnsi="XO Thames"/>
      <w:b/>
      <w:bCs/>
      <w:sz w:val="28"/>
      <w:szCs w:val="28"/>
    </w:rPr>
  </w:style>
  <w:style w:type="paragraph" w:customStyle="1" w:styleId="aa">
    <w:name w:val="Колонтитулы"/>
    <w:qFormat/>
    <w:pPr>
      <w:jc w:val="both"/>
    </w:pPr>
    <w:rPr>
      <w:rFonts w:ascii="XO Thames" w:hAnsi="XO Thames"/>
      <w:sz w:val="28"/>
      <w:szCs w:val="28"/>
    </w:rPr>
  </w:style>
  <w:style w:type="paragraph" w:customStyle="1" w:styleId="a">
    <w:name w:val="Пункт договора"/>
    <w:basedOn w:val="a0"/>
    <w:next w:val="a0"/>
    <w:qFormat/>
    <w:pPr>
      <w:numPr>
        <w:ilvl w:val="1"/>
        <w:numId w:val="2"/>
      </w:numPr>
      <w:ind w:left="0" w:firstLine="709"/>
      <w:jc w:val="both"/>
    </w:pPr>
    <w:rPr>
      <w:sz w:val="26"/>
      <w:szCs w:val="26"/>
    </w:rPr>
  </w:style>
  <w:style w:type="paragraph" w:styleId="9">
    <w:name w:val="toc 9"/>
    <w:next w:val="a0"/>
    <w:pPr>
      <w:ind w:left="1600"/>
    </w:pPr>
    <w:rPr>
      <w:rFonts w:ascii="XO Thames" w:hAnsi="XO Thames"/>
      <w:sz w:val="28"/>
      <w:szCs w:val="28"/>
    </w:rPr>
  </w:style>
  <w:style w:type="paragraph" w:customStyle="1" w:styleId="ListLabel11">
    <w:name w:val="ListLabel 11"/>
    <w:qFormat/>
    <w:rPr>
      <w:rFonts w:ascii="Times New Roman" w:hAnsi="Times New Roman"/>
      <w:sz w:val="22"/>
      <w:szCs w:val="22"/>
    </w:rPr>
  </w:style>
  <w:style w:type="paragraph" w:styleId="8">
    <w:name w:val="toc 8"/>
    <w:next w:val="a0"/>
    <w:pPr>
      <w:ind w:left="1400"/>
    </w:pPr>
    <w:rPr>
      <w:rFonts w:ascii="XO Thames" w:hAnsi="XO Thames"/>
      <w:sz w:val="28"/>
      <w:szCs w:val="28"/>
    </w:rPr>
  </w:style>
  <w:style w:type="paragraph" w:styleId="50">
    <w:name w:val="toc 5"/>
    <w:next w:val="a0"/>
    <w:pPr>
      <w:ind w:left="800"/>
    </w:pPr>
    <w:rPr>
      <w:rFonts w:ascii="XO Thames" w:hAnsi="XO Thames"/>
      <w:sz w:val="28"/>
      <w:szCs w:val="28"/>
    </w:rPr>
  </w:style>
  <w:style w:type="paragraph" w:styleId="ab">
    <w:name w:val="List"/>
    <w:basedOn w:val="a5"/>
    <w:next w:val="a5"/>
  </w:style>
  <w:style w:type="paragraph" w:styleId="ac">
    <w:name w:val="Subtitle"/>
    <w:next w:val="a0"/>
    <w:qFormat/>
    <w:pPr>
      <w:jc w:val="both"/>
    </w:pPr>
    <w:rPr>
      <w:rFonts w:ascii="XO Thames" w:hAnsi="XO Thames"/>
      <w:i/>
      <w:iCs/>
    </w:rPr>
  </w:style>
  <w:style w:type="paragraph" w:customStyle="1" w:styleId="ListLabel13">
    <w:name w:val="ListLabel 13"/>
    <w:qFormat/>
    <w:rPr>
      <w:rFonts w:ascii="Times New Roman" w:hAnsi="Times New Roman"/>
      <w:sz w:val="22"/>
      <w:szCs w:val="22"/>
    </w:rPr>
  </w:style>
  <w:style w:type="paragraph" w:customStyle="1" w:styleId="ListLabel12">
    <w:name w:val="ListLabel 12"/>
    <w:qFormat/>
    <w:rPr>
      <w:rFonts w:ascii="Times New Roman" w:hAnsi="Times New Roman"/>
      <w:sz w:val="22"/>
      <w:szCs w:val="22"/>
    </w:rPr>
  </w:style>
  <w:style w:type="paragraph" w:customStyle="1" w:styleId="ListLabel10">
    <w:name w:val="ListLabel 10"/>
    <w:qFormat/>
  </w:style>
  <w:style w:type="paragraph" w:customStyle="1" w:styleId="ListLabel15">
    <w:name w:val="ListLabel 15"/>
    <w:qFormat/>
  </w:style>
  <w:style w:type="numbering" w:customStyle="1" w:styleId="numList1">
    <w:name w:val="numList_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659</Words>
  <Characters>3757</Characters>
  <Application>Microsoft Office Word</Application>
  <DocSecurity>0</DocSecurity>
  <Lines>31</Lines>
  <Paragraphs>8</Paragraphs>
  <ScaleCrop>false</ScaleCrop>
  <Company>ПАО "Ростелеком"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Григорьева Светлана Вячеславовна</cp:lastModifiedBy>
  <cp:revision>1</cp:revision>
  <dcterms:created xsi:type="dcterms:W3CDTF">2026-06-23T09:48:00Z</dcterms:created>
  <dcterms:modified xsi:type="dcterms:W3CDTF">2026-06-24T16:32:00Z</dcterms:modified>
  <dc:language>ru-RU</dc:language>
</cp:coreProperties>
</file>